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B0" w:rsidRDefault="001F5CB0" w:rsidP="001F5CB0">
      <w:pPr>
        <w:spacing w:line="240" w:lineRule="auto"/>
        <w:rPr>
          <w:rFonts w:ascii="Arial" w:hAnsi="Arial" w:cs="Arial"/>
          <w:b/>
          <w:bCs/>
          <w:color w:val="404040"/>
        </w:rPr>
      </w:pPr>
    </w:p>
    <w:p w:rsidR="001F5CB0" w:rsidRDefault="001F5CB0" w:rsidP="001F5CB0">
      <w:pPr>
        <w:spacing w:line="240" w:lineRule="auto"/>
        <w:rPr>
          <w:rFonts w:ascii="Arial" w:hAnsi="Arial" w:cs="Arial"/>
          <w:b/>
          <w:bCs/>
          <w:color w:val="404040"/>
          <w:sz w:val="10"/>
          <w:szCs w:val="10"/>
        </w:rPr>
      </w:pPr>
    </w:p>
    <w:p w:rsidR="001F5CB0" w:rsidRPr="001134D9" w:rsidRDefault="001F5CB0" w:rsidP="001F5CB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4040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99695</wp:posOffset>
            </wp:positionV>
            <wp:extent cx="3272790" cy="666750"/>
            <wp:effectExtent l="0" t="0" r="3810" b="0"/>
            <wp:wrapThrough wrapText="bothSides">
              <wp:wrapPolygon edited="0">
                <wp:start x="15590" y="0"/>
                <wp:lineTo x="1760" y="5554"/>
                <wp:lineTo x="0" y="6789"/>
                <wp:lineTo x="0" y="17897"/>
                <wp:lineTo x="15590" y="20983"/>
                <wp:lineTo x="16219" y="20983"/>
                <wp:lineTo x="21499" y="18514"/>
                <wp:lineTo x="21499" y="6171"/>
                <wp:lineTo x="16219" y="0"/>
                <wp:lineTo x="15590" y="0"/>
              </wp:wrapPolygon>
            </wp:wrapThrough>
            <wp:docPr id="5" name="Рисунок 5" descr="C:\Users\Y7F0D~1.PUP\AppData\Local\Temp\Аудиториум_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Y7F0D~1.PUP\AppData\Local\Temp\Аудиториум_сер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4D9">
        <w:rPr>
          <w:rFonts w:ascii="Arial" w:hAnsi="Arial" w:cs="Arial"/>
          <w:b/>
          <w:bCs/>
        </w:rPr>
        <w:t>ООО «ЮрСпектр»</w:t>
      </w:r>
    </w:p>
    <w:p w:rsidR="001F5CB0" w:rsidRPr="001134D9" w:rsidRDefault="001F5CB0" w:rsidP="001F5CB0">
      <w:pPr>
        <w:spacing w:line="240" w:lineRule="auto"/>
        <w:rPr>
          <w:rFonts w:ascii="Arial" w:hAnsi="Arial" w:cs="Arial"/>
          <w:sz w:val="20"/>
          <w:szCs w:val="20"/>
        </w:rPr>
      </w:pPr>
      <w:r w:rsidRPr="001134D9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1F5CB0" w:rsidRPr="001134D9" w:rsidRDefault="001F5CB0" w:rsidP="001F5CB0">
      <w:pPr>
        <w:spacing w:line="240" w:lineRule="auto"/>
        <w:rPr>
          <w:rFonts w:ascii="Arial" w:hAnsi="Arial" w:cs="Arial"/>
          <w:sz w:val="20"/>
          <w:szCs w:val="20"/>
        </w:rPr>
      </w:pPr>
      <w:r w:rsidRPr="001134D9">
        <w:rPr>
          <w:rFonts w:ascii="Arial" w:hAnsi="Arial" w:cs="Arial"/>
          <w:sz w:val="20"/>
          <w:szCs w:val="20"/>
        </w:rPr>
        <w:t>Тел./факс (многоканальный): 308-28-28</w:t>
      </w:r>
    </w:p>
    <w:p w:rsidR="001F5CB0" w:rsidRPr="001134D9" w:rsidRDefault="001F5CB0" w:rsidP="001F5CB0">
      <w:pPr>
        <w:spacing w:line="240" w:lineRule="auto"/>
        <w:rPr>
          <w:rFonts w:ascii="Arial" w:hAnsi="Arial" w:cs="Arial"/>
          <w:sz w:val="20"/>
          <w:szCs w:val="20"/>
        </w:rPr>
      </w:pPr>
      <w:r w:rsidRPr="001134D9">
        <w:rPr>
          <w:rFonts w:ascii="Arial" w:hAnsi="Arial" w:cs="Arial"/>
          <w:sz w:val="20"/>
          <w:szCs w:val="20"/>
        </w:rPr>
        <w:t xml:space="preserve">Р/с </w:t>
      </w:r>
      <w:r w:rsidRPr="001134D9">
        <w:rPr>
          <w:rFonts w:ascii="Arial" w:hAnsi="Arial" w:cs="Arial"/>
          <w:sz w:val="20"/>
          <w:szCs w:val="20"/>
          <w:lang w:val="en-US"/>
        </w:rPr>
        <w:t>BY</w:t>
      </w:r>
      <w:r w:rsidRPr="001134D9">
        <w:rPr>
          <w:rFonts w:ascii="Arial" w:hAnsi="Arial" w:cs="Arial"/>
          <w:sz w:val="20"/>
          <w:szCs w:val="20"/>
        </w:rPr>
        <w:t>53</w:t>
      </w:r>
      <w:r w:rsidRPr="001134D9">
        <w:rPr>
          <w:rFonts w:ascii="Arial" w:hAnsi="Arial" w:cs="Arial"/>
          <w:sz w:val="20"/>
          <w:szCs w:val="20"/>
          <w:lang w:val="en-US"/>
        </w:rPr>
        <w:t>POIS</w:t>
      </w:r>
      <w:r w:rsidRPr="001134D9">
        <w:rPr>
          <w:rFonts w:ascii="Arial" w:hAnsi="Arial" w:cs="Arial"/>
          <w:sz w:val="20"/>
          <w:szCs w:val="20"/>
        </w:rPr>
        <w:t>30120001127801933005</w:t>
      </w:r>
    </w:p>
    <w:p w:rsidR="001F5CB0" w:rsidRPr="001134D9" w:rsidRDefault="001F5CB0" w:rsidP="001F5CB0">
      <w:pPr>
        <w:spacing w:line="240" w:lineRule="auto"/>
        <w:rPr>
          <w:rFonts w:ascii="Arial" w:hAnsi="Arial" w:cs="Arial"/>
          <w:sz w:val="20"/>
          <w:szCs w:val="20"/>
        </w:rPr>
      </w:pPr>
      <w:r w:rsidRPr="001134D9">
        <w:rPr>
          <w:rFonts w:ascii="Arial" w:hAnsi="Arial" w:cs="Arial"/>
          <w:sz w:val="20"/>
          <w:szCs w:val="20"/>
        </w:rPr>
        <w:t>в ЦБУ № 17 ОАО «Паритетбанк»,</w:t>
      </w:r>
    </w:p>
    <w:p w:rsidR="001F5CB0" w:rsidRPr="001134D9" w:rsidRDefault="001F5CB0" w:rsidP="001F5CB0">
      <w:pPr>
        <w:spacing w:line="240" w:lineRule="auto"/>
      </w:pPr>
      <w:r w:rsidRPr="001134D9">
        <w:rPr>
          <w:rFonts w:ascii="Arial" w:hAnsi="Arial" w:cs="Arial"/>
          <w:sz w:val="20"/>
          <w:szCs w:val="20"/>
        </w:rPr>
        <w:t xml:space="preserve">БИК </w:t>
      </w:r>
      <w:r w:rsidRPr="001134D9">
        <w:rPr>
          <w:rFonts w:ascii="Arial" w:hAnsi="Arial" w:cs="Arial"/>
          <w:sz w:val="20"/>
          <w:szCs w:val="20"/>
          <w:lang w:val="en-US"/>
        </w:rPr>
        <w:t>POISBY</w:t>
      </w:r>
      <w:r w:rsidRPr="001134D9">
        <w:rPr>
          <w:rFonts w:ascii="Arial" w:hAnsi="Arial" w:cs="Arial"/>
          <w:sz w:val="20"/>
          <w:szCs w:val="20"/>
        </w:rPr>
        <w:t>2</w:t>
      </w:r>
      <w:r w:rsidRPr="001134D9">
        <w:rPr>
          <w:rFonts w:ascii="Arial" w:hAnsi="Arial" w:cs="Arial"/>
          <w:sz w:val="20"/>
          <w:szCs w:val="20"/>
          <w:lang w:val="en-US"/>
        </w:rPr>
        <w:t>X</w:t>
      </w:r>
      <w:r w:rsidRPr="001134D9">
        <w:rPr>
          <w:rFonts w:ascii="Arial" w:hAnsi="Arial" w:cs="Arial"/>
          <w:sz w:val="20"/>
          <w:szCs w:val="20"/>
        </w:rPr>
        <w:t>, УНН 101528828, ОКПО 37521934</w:t>
      </w:r>
    </w:p>
    <w:p w:rsidR="001F5CB0" w:rsidRPr="00752700" w:rsidRDefault="001F5CB0" w:rsidP="001F5CB0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hAnsi="Arial" w:cs="Arial"/>
          <w:color w:val="404040"/>
          <w:sz w:val="20"/>
          <w:szCs w:val="20"/>
        </w:rPr>
      </w:pPr>
    </w:p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064"/>
      </w:tblGrid>
      <w:tr w:rsidR="001F5CB0" w:rsidRPr="007D36C7" w:rsidTr="00F10605">
        <w:tc>
          <w:tcPr>
            <w:tcW w:w="1418" w:type="dxa"/>
          </w:tcPr>
          <w:p w:rsidR="001F5CB0" w:rsidRPr="007D36C7" w:rsidRDefault="001F5CB0" w:rsidP="00F10605">
            <w:pPr>
              <w:tabs>
                <w:tab w:val="center" w:pos="5812"/>
                <w:tab w:val="right" w:pos="11624"/>
              </w:tabs>
              <w:spacing w:line="240" w:lineRule="auto"/>
              <w:jc w:val="right"/>
              <w:rPr>
                <w:rFonts w:ascii="Arial" w:hAnsi="Arial" w:cs="Arial"/>
                <w:color w:val="40404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76200</wp:posOffset>
                  </wp:positionV>
                  <wp:extent cx="358775" cy="283845"/>
                  <wp:effectExtent l="0" t="0" r="3175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</w:tcPr>
          <w:p w:rsidR="001F5CB0" w:rsidRPr="00752700" w:rsidRDefault="001F5CB0" w:rsidP="00F1060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2700">
              <w:rPr>
                <w:rFonts w:ascii="Arial" w:hAnsi="Arial" w:cs="Arial"/>
                <w:b/>
                <w:sz w:val="24"/>
                <w:szCs w:val="24"/>
              </w:rPr>
              <w:t xml:space="preserve">Целевая аудитория: </w:t>
            </w:r>
          </w:p>
          <w:p w:rsidR="001F5CB0" w:rsidRPr="00752700" w:rsidRDefault="001F5CB0" w:rsidP="00F10605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2700">
              <w:rPr>
                <w:rFonts w:ascii="Arial" w:hAnsi="Arial" w:cs="Arial"/>
                <w:b/>
                <w:sz w:val="24"/>
                <w:szCs w:val="24"/>
              </w:rPr>
              <w:t>главные бухгалтеры и бухгалтеры организаций, применяющих как общую систему налогообложения, так и упрощенную.</w:t>
            </w:r>
          </w:p>
        </w:tc>
      </w:tr>
    </w:tbl>
    <w:p w:rsidR="001F5CB0" w:rsidRPr="00752700" w:rsidRDefault="001F5CB0" w:rsidP="001F5CB0">
      <w:pPr>
        <w:spacing w:line="240" w:lineRule="auto"/>
        <w:rPr>
          <w:rFonts w:ascii="Times New Roman" w:hAnsi="Times New Roman"/>
          <w:b/>
          <w:color w:val="404040"/>
          <w:sz w:val="20"/>
          <w:szCs w:val="20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6206"/>
        <w:gridCol w:w="4709"/>
      </w:tblGrid>
      <w:tr w:rsidR="001F5CB0" w:rsidRPr="00A70C10" w:rsidTr="00F10605">
        <w:trPr>
          <w:trHeight w:val="876"/>
        </w:trPr>
        <w:tc>
          <w:tcPr>
            <w:tcW w:w="6206" w:type="dxa"/>
            <w:shd w:val="clear" w:color="auto" w:fill="0B8FA6"/>
            <w:vAlign w:val="center"/>
          </w:tcPr>
          <w:p w:rsidR="001F5CB0" w:rsidRDefault="001F5CB0" w:rsidP="00F10605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13 октября 2021 года</w:t>
            </w:r>
          </w:p>
          <w:p w:rsidR="001F5CB0" w:rsidRPr="00A70C10" w:rsidRDefault="001F5CB0" w:rsidP="00F10605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10.00 – 13.00</w:t>
            </w:r>
          </w:p>
        </w:tc>
        <w:tc>
          <w:tcPr>
            <w:tcW w:w="4709" w:type="dxa"/>
            <w:shd w:val="clear" w:color="auto" w:fill="0B8FA6"/>
            <w:vAlign w:val="center"/>
          </w:tcPr>
          <w:p w:rsidR="001F5CB0" w:rsidRPr="00301C3E" w:rsidRDefault="001F5CB0" w:rsidP="00F10605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Аудиториум </w:t>
            </w: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  <w:lang w:val="en-US"/>
              </w:rPr>
              <w:t>ilex</w:t>
            </w:r>
          </w:p>
        </w:tc>
      </w:tr>
    </w:tbl>
    <w:p w:rsidR="001F5CB0" w:rsidRPr="00455EAE" w:rsidRDefault="001F5CB0" w:rsidP="001F5CB0">
      <w:pPr>
        <w:spacing w:line="240" w:lineRule="auto"/>
        <w:jc w:val="center"/>
        <w:rPr>
          <w:rFonts w:ascii="Arial" w:hAnsi="Arial" w:cs="Arial"/>
          <w:b/>
          <w:color w:val="0B8FA6"/>
          <w:sz w:val="16"/>
          <w:szCs w:val="16"/>
        </w:rPr>
      </w:pPr>
    </w:p>
    <w:p w:rsidR="001F5CB0" w:rsidRDefault="001F5CB0" w:rsidP="001F5CB0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eastAsia="SimSun" w:hAnsi="Arial" w:cs="Arial"/>
          <w:b/>
          <w:color w:val="0B8FA6"/>
          <w:sz w:val="28"/>
          <w:szCs w:val="28"/>
        </w:rPr>
      </w:pPr>
      <w:r>
        <w:rPr>
          <w:rFonts w:ascii="Arial" w:eastAsia="SimSun" w:hAnsi="Arial" w:cs="Arial"/>
          <w:b/>
          <w:color w:val="0B8FA6"/>
          <w:sz w:val="28"/>
          <w:szCs w:val="28"/>
        </w:rPr>
        <w:t>Налоги-2021</w:t>
      </w:r>
      <w:r w:rsidRPr="001D15D9">
        <w:rPr>
          <w:rFonts w:ascii="Arial" w:eastAsia="SimSun" w:hAnsi="Arial" w:cs="Arial"/>
          <w:b/>
          <w:color w:val="0B8FA6"/>
          <w:sz w:val="28"/>
          <w:szCs w:val="28"/>
        </w:rPr>
        <w:t xml:space="preserve">: налог на прибыль, </w:t>
      </w:r>
    </w:p>
    <w:p w:rsidR="001F5CB0" w:rsidRPr="00393835" w:rsidRDefault="001F5CB0" w:rsidP="001F5CB0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eastAsia="SimSun" w:hAnsi="Arial" w:cs="Arial"/>
          <w:b/>
          <w:color w:val="0B8FA6"/>
          <w:sz w:val="28"/>
          <w:szCs w:val="28"/>
        </w:rPr>
      </w:pPr>
      <w:r w:rsidRPr="001D15D9">
        <w:rPr>
          <w:rFonts w:ascii="Arial" w:eastAsia="SimSun" w:hAnsi="Arial" w:cs="Arial"/>
          <w:b/>
          <w:color w:val="0B8FA6"/>
          <w:sz w:val="28"/>
          <w:szCs w:val="28"/>
        </w:rPr>
        <w:t>ресурсные налоги</w:t>
      </w:r>
      <w:r>
        <w:rPr>
          <w:rFonts w:ascii="Arial" w:eastAsia="SimSun" w:hAnsi="Arial" w:cs="Arial"/>
          <w:b/>
          <w:color w:val="0B8FA6"/>
          <w:sz w:val="28"/>
          <w:szCs w:val="28"/>
        </w:rPr>
        <w:t>, транспортный налог</w:t>
      </w:r>
    </w:p>
    <w:p w:rsidR="001F5CB0" w:rsidRPr="00455EAE" w:rsidRDefault="001F5CB0" w:rsidP="001F5CB0">
      <w:pPr>
        <w:tabs>
          <w:tab w:val="left" w:pos="10440"/>
        </w:tabs>
        <w:jc w:val="both"/>
        <w:outlineLvl w:val="0"/>
        <w:rPr>
          <w:rFonts w:ascii="Arial" w:hAnsi="Arial" w:cs="Arial"/>
          <w:b/>
          <w:color w:val="00B0F0"/>
          <w:sz w:val="16"/>
          <w:szCs w:val="16"/>
        </w:rPr>
      </w:pPr>
    </w:p>
    <w:p w:rsidR="001F5CB0" w:rsidRPr="00752700" w:rsidRDefault="001F5CB0" w:rsidP="001F5CB0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52700">
        <w:rPr>
          <w:rFonts w:ascii="Arial" w:eastAsia="SimSun" w:hAnsi="Arial" w:cs="Arial"/>
          <w:b/>
          <w:sz w:val="24"/>
          <w:szCs w:val="24"/>
        </w:rPr>
        <w:t>1. Порядок исчисления и</w:t>
      </w:r>
      <w:r>
        <w:rPr>
          <w:rFonts w:ascii="Arial" w:eastAsia="SimSun" w:hAnsi="Arial" w:cs="Arial"/>
          <w:b/>
          <w:sz w:val="24"/>
          <w:szCs w:val="24"/>
        </w:rPr>
        <w:t xml:space="preserve"> уплаты налога на прибыль в 2021 году.</w:t>
      </w:r>
    </w:p>
    <w:p w:rsidR="001F5CB0" w:rsidRPr="00EF02B6" w:rsidRDefault="001F5CB0" w:rsidP="001F5CB0">
      <w:pPr>
        <w:ind w:right="113"/>
        <w:jc w:val="both"/>
        <w:rPr>
          <w:rFonts w:ascii="Arial" w:hAnsi="Arial" w:cs="Arial"/>
          <w:sz w:val="10"/>
          <w:szCs w:val="10"/>
        </w:rPr>
      </w:pPr>
    </w:p>
    <w:p w:rsidR="001F5CB0" w:rsidRPr="00752700" w:rsidRDefault="001F5CB0" w:rsidP="001F5CB0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52700">
        <w:rPr>
          <w:rFonts w:ascii="Arial" w:hAnsi="Arial" w:cs="Arial"/>
          <w:sz w:val="24"/>
          <w:szCs w:val="24"/>
        </w:rPr>
        <w:t>1.1. Определение облагаемой базы по налогу на прибыль. Применение льгот и ставок по налогу на прибыль.</w:t>
      </w:r>
    </w:p>
    <w:p w:rsidR="001F5CB0" w:rsidRPr="00752700" w:rsidRDefault="001F5CB0" w:rsidP="001F5CB0">
      <w:pPr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752700">
        <w:rPr>
          <w:rFonts w:ascii="Arial" w:hAnsi="Arial" w:cs="Arial"/>
          <w:sz w:val="24"/>
          <w:szCs w:val="24"/>
        </w:rPr>
        <w:t>1.2. Отнесении расходов на затраты, учитываемые при налогообложении прибыли, в том числе нормируемых затрат.</w:t>
      </w:r>
    </w:p>
    <w:p w:rsidR="001F5CB0" w:rsidRPr="00752700" w:rsidRDefault="001F5CB0" w:rsidP="001F5CB0">
      <w:pPr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752700">
        <w:rPr>
          <w:rFonts w:ascii="Arial" w:hAnsi="Arial" w:cs="Arial"/>
          <w:sz w:val="24"/>
          <w:szCs w:val="24"/>
        </w:rPr>
        <w:t>1.3. Квалификация внереализационных доходов и расходов при исчислении налога на прибыль.</w:t>
      </w:r>
    </w:p>
    <w:p w:rsidR="001F5CB0" w:rsidRPr="00752700" w:rsidRDefault="001F5CB0" w:rsidP="001F5CB0">
      <w:pPr>
        <w:ind w:left="113" w:right="113" w:firstLine="709"/>
        <w:jc w:val="both"/>
        <w:rPr>
          <w:rFonts w:ascii="Arial" w:hAnsi="Arial" w:cs="Arial"/>
          <w:sz w:val="24"/>
          <w:szCs w:val="24"/>
        </w:rPr>
      </w:pPr>
    </w:p>
    <w:p w:rsidR="001F5CB0" w:rsidRDefault="001F5CB0" w:rsidP="001F5CB0">
      <w:pPr>
        <w:ind w:left="113" w:right="113" w:firstLine="709"/>
        <w:jc w:val="both"/>
        <w:rPr>
          <w:rFonts w:ascii="Arial" w:eastAsia="SimSun" w:hAnsi="Arial" w:cs="Arial"/>
          <w:b/>
          <w:sz w:val="24"/>
          <w:szCs w:val="24"/>
          <w:lang w:val="ru"/>
        </w:rPr>
      </w:pPr>
      <w:r w:rsidRPr="00752700">
        <w:rPr>
          <w:rFonts w:ascii="Arial" w:eastAsia="SimSun" w:hAnsi="Arial" w:cs="Arial"/>
          <w:b/>
          <w:sz w:val="24"/>
          <w:szCs w:val="24"/>
          <w:lang w:val="ru"/>
        </w:rPr>
        <w:t>2. Исчисление и уплата налога на недвижимость, земельного налога, экологического налога.</w:t>
      </w:r>
    </w:p>
    <w:p w:rsidR="001F5CB0" w:rsidRDefault="001F5CB0" w:rsidP="001F5CB0">
      <w:pPr>
        <w:ind w:left="113" w:right="113" w:firstLine="709"/>
        <w:jc w:val="both"/>
        <w:rPr>
          <w:rFonts w:ascii="Arial" w:eastAsia="SimSun" w:hAnsi="Arial" w:cs="Arial"/>
          <w:sz w:val="24"/>
          <w:szCs w:val="24"/>
        </w:rPr>
      </w:pPr>
    </w:p>
    <w:p w:rsidR="001F5CB0" w:rsidRDefault="001F5CB0" w:rsidP="001F5CB0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D006F0">
        <w:rPr>
          <w:rFonts w:ascii="Arial" w:hAnsi="Arial" w:cs="Arial"/>
          <w:b/>
          <w:sz w:val="24"/>
          <w:szCs w:val="24"/>
        </w:rPr>
        <w:t>3. Транспортный налог</w:t>
      </w:r>
      <w:r>
        <w:rPr>
          <w:rFonts w:ascii="Arial" w:hAnsi="Arial" w:cs="Arial"/>
          <w:b/>
          <w:sz w:val="24"/>
          <w:szCs w:val="24"/>
        </w:rPr>
        <w:t>.</w:t>
      </w:r>
    </w:p>
    <w:p w:rsidR="001F5CB0" w:rsidRPr="00EF02B6" w:rsidRDefault="001F5CB0" w:rsidP="001F5CB0">
      <w:pPr>
        <w:ind w:left="113" w:right="113" w:firstLine="709"/>
        <w:jc w:val="both"/>
        <w:rPr>
          <w:rFonts w:ascii="Arial" w:hAnsi="Arial" w:cs="Arial"/>
          <w:b/>
          <w:sz w:val="10"/>
          <w:szCs w:val="10"/>
        </w:rPr>
      </w:pPr>
    </w:p>
    <w:p w:rsidR="001F5CB0" w:rsidRPr="00D006F0" w:rsidRDefault="001F5CB0" w:rsidP="001F5CB0">
      <w:pPr>
        <w:ind w:left="113" w:right="113" w:firstLine="7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006F0">
        <w:rPr>
          <w:rFonts w:ascii="Arial" w:hAnsi="Arial" w:cs="Arial"/>
          <w:sz w:val="24"/>
          <w:szCs w:val="24"/>
        </w:rPr>
        <w:t>.1. Порядок исчисления, ставка, льготы.</w:t>
      </w:r>
    </w:p>
    <w:p w:rsidR="001F5CB0" w:rsidRPr="00D006F0" w:rsidRDefault="001F5CB0" w:rsidP="001F5CB0">
      <w:pPr>
        <w:ind w:left="113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006F0">
        <w:rPr>
          <w:rFonts w:ascii="Arial" w:hAnsi="Arial" w:cs="Arial"/>
          <w:sz w:val="24"/>
          <w:szCs w:val="24"/>
        </w:rPr>
        <w:t>.2 Порядок и сроки представления налоговых деклараций (расчетов) и уплаты транспортного налога</w:t>
      </w:r>
      <w:r>
        <w:rPr>
          <w:rFonts w:ascii="Arial" w:hAnsi="Arial" w:cs="Arial"/>
          <w:sz w:val="24"/>
          <w:szCs w:val="24"/>
        </w:rPr>
        <w:t>.</w:t>
      </w:r>
    </w:p>
    <w:p w:rsidR="001F5CB0" w:rsidRPr="00752700" w:rsidRDefault="001F5CB0" w:rsidP="001F5CB0">
      <w:pPr>
        <w:jc w:val="both"/>
        <w:rPr>
          <w:rFonts w:ascii="Arial" w:eastAsia="SimSun" w:hAnsi="Arial" w:cs="Arial"/>
          <w:b/>
          <w:sz w:val="24"/>
          <w:szCs w:val="24"/>
          <w:lang w:val="ru"/>
        </w:rPr>
      </w:pPr>
    </w:p>
    <w:p w:rsidR="001F5CB0" w:rsidRDefault="001F5CB0" w:rsidP="001F5CB0">
      <w:pPr>
        <w:pStyle w:val="ConsNormal"/>
        <w:ind w:left="113" w:right="113" w:firstLine="0"/>
        <w:rPr>
          <w:rFonts w:ascii="Arial" w:hAnsi="Arial" w:cs="Arial"/>
          <w:b/>
          <w:sz w:val="24"/>
          <w:szCs w:val="24"/>
        </w:rPr>
      </w:pPr>
      <w:r w:rsidRPr="00EF02B6">
        <w:rPr>
          <w:rFonts w:ascii="Arial" w:hAnsi="Arial" w:cs="Arial"/>
          <w:b/>
          <w:sz w:val="24"/>
          <w:szCs w:val="24"/>
        </w:rPr>
        <w:t xml:space="preserve">Лектор: </w:t>
      </w:r>
    </w:p>
    <w:p w:rsidR="001F5CB0" w:rsidRPr="00982278" w:rsidRDefault="001F5CB0" w:rsidP="001F5CB0">
      <w:pPr>
        <w:pStyle w:val="ConsNormal"/>
        <w:ind w:left="113" w:right="113" w:firstLine="0"/>
        <w:rPr>
          <w:rFonts w:ascii="Arial" w:hAnsi="Arial" w:cs="Arial"/>
          <w:b/>
          <w:sz w:val="24"/>
          <w:szCs w:val="24"/>
        </w:rPr>
      </w:pPr>
      <w:r w:rsidRPr="00982278">
        <w:rPr>
          <w:rFonts w:ascii="Arial" w:hAnsi="Arial" w:cs="Arial"/>
          <w:b/>
          <w:iCs/>
          <w:sz w:val="24"/>
          <w:szCs w:val="24"/>
        </w:rPr>
        <w:t>Бурдюк Олег Алексеевич</w:t>
      </w:r>
      <w:r w:rsidRPr="00982278">
        <w:rPr>
          <w:rFonts w:ascii="Arial" w:hAnsi="Arial" w:cs="Arial"/>
          <w:iCs/>
          <w:sz w:val="24"/>
          <w:szCs w:val="24"/>
        </w:rPr>
        <w:t>, аудитор, налоговый консультант, заместитель председателя Палаты налоговых консультантов.</w:t>
      </w:r>
    </w:p>
    <w:p w:rsidR="001F5CB0" w:rsidRDefault="001F5CB0" w:rsidP="001F5CB0">
      <w:pPr>
        <w:pStyle w:val="ConsNormal"/>
        <w:ind w:left="113" w:right="113" w:firstLine="0"/>
        <w:jc w:val="left"/>
        <w:rPr>
          <w:rFonts w:ascii="Arial" w:hAnsi="Arial" w:cs="Arial"/>
          <w:b/>
          <w:sz w:val="24"/>
          <w:szCs w:val="24"/>
        </w:rPr>
      </w:pPr>
    </w:p>
    <w:p w:rsidR="001F5CB0" w:rsidRPr="00EF02B6" w:rsidRDefault="001F5CB0" w:rsidP="001F5CB0">
      <w:pPr>
        <w:pStyle w:val="ConsNormal"/>
        <w:ind w:right="0" w:firstLine="142"/>
        <w:jc w:val="left"/>
        <w:rPr>
          <w:rFonts w:ascii="Arial" w:hAnsi="Arial" w:cs="Arial"/>
          <w:b/>
          <w:sz w:val="24"/>
          <w:szCs w:val="24"/>
        </w:rPr>
      </w:pPr>
    </w:p>
    <w:p w:rsidR="001F5CB0" w:rsidRDefault="001F5CB0" w:rsidP="001F5CB0">
      <w:pPr>
        <w:jc w:val="both"/>
        <w:rPr>
          <w:rFonts w:ascii="Arial" w:hAnsi="Arial" w:cs="Arial"/>
          <w:sz w:val="24"/>
          <w:szCs w:val="24"/>
        </w:rPr>
      </w:pPr>
    </w:p>
    <w:p w:rsidR="001F5CB0" w:rsidRDefault="001F5CB0" w:rsidP="001F5CB0">
      <w:pPr>
        <w:jc w:val="both"/>
        <w:rPr>
          <w:rFonts w:ascii="Arial" w:hAnsi="Arial" w:cs="Arial"/>
          <w:sz w:val="24"/>
          <w:szCs w:val="24"/>
        </w:rPr>
      </w:pPr>
    </w:p>
    <w:p w:rsidR="001F5CB0" w:rsidRDefault="001F5CB0" w:rsidP="001F5CB0">
      <w:pPr>
        <w:jc w:val="both"/>
        <w:rPr>
          <w:rFonts w:ascii="Arial" w:hAnsi="Arial" w:cs="Arial"/>
          <w:sz w:val="24"/>
          <w:szCs w:val="24"/>
        </w:rPr>
      </w:pPr>
    </w:p>
    <w:p w:rsidR="001F5CB0" w:rsidRDefault="001F5CB0" w:rsidP="001F5CB0">
      <w:pPr>
        <w:jc w:val="both"/>
        <w:rPr>
          <w:rFonts w:ascii="Arial" w:hAnsi="Arial" w:cs="Arial"/>
          <w:sz w:val="24"/>
          <w:szCs w:val="24"/>
        </w:rPr>
      </w:pPr>
    </w:p>
    <w:p w:rsidR="001F5CB0" w:rsidRPr="00752700" w:rsidRDefault="001F5CB0" w:rsidP="001F5CB0">
      <w:pPr>
        <w:jc w:val="both"/>
        <w:rPr>
          <w:rFonts w:ascii="Arial" w:hAnsi="Arial" w:cs="Arial"/>
          <w:sz w:val="24"/>
          <w:szCs w:val="24"/>
        </w:rPr>
      </w:pPr>
    </w:p>
    <w:p w:rsidR="001F5CB0" w:rsidRPr="00393835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93835">
        <w:rPr>
          <w:rFonts w:ascii="Arial" w:hAnsi="Arial" w:cs="Arial"/>
          <w:b/>
          <w:bCs/>
          <w:sz w:val="24"/>
          <w:szCs w:val="24"/>
        </w:rPr>
        <w:t>Будем рады видеть Вас на нашем мероприятии!</w:t>
      </w:r>
    </w:p>
    <w:p w:rsidR="001F5CB0" w:rsidRDefault="001F5CB0" w:rsidP="001F5CB0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p w:rsidR="001F5CB0" w:rsidRPr="005E41DC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tbl>
      <w:tblPr>
        <w:tblW w:w="10893" w:type="dxa"/>
        <w:tblBorders>
          <w:top w:val="single" w:sz="12" w:space="0" w:color="0B8FA6"/>
          <w:left w:val="single" w:sz="12" w:space="0" w:color="0B8FA6"/>
          <w:bottom w:val="single" w:sz="12" w:space="0" w:color="0B8FA6"/>
          <w:right w:val="single" w:sz="12" w:space="0" w:color="0B8FA6"/>
          <w:insideH w:val="single" w:sz="12" w:space="0" w:color="0B8FA6"/>
          <w:insideV w:val="single" w:sz="12" w:space="0" w:color="0B8FA6"/>
        </w:tblBorders>
        <w:shd w:val="clear" w:color="auto" w:fill="0B8FA6"/>
        <w:tblLook w:val="04A0" w:firstRow="1" w:lastRow="0" w:firstColumn="1" w:lastColumn="0" w:noHBand="0" w:noVBand="1"/>
      </w:tblPr>
      <w:tblGrid>
        <w:gridCol w:w="9447"/>
        <w:gridCol w:w="1446"/>
      </w:tblGrid>
      <w:tr w:rsidR="001F5CB0" w:rsidRPr="006C5C1E" w:rsidTr="00F10605">
        <w:tc>
          <w:tcPr>
            <w:tcW w:w="9464" w:type="dxa"/>
            <w:shd w:val="clear" w:color="auto" w:fill="0B8FA6"/>
          </w:tcPr>
          <w:p w:rsidR="001F5CB0" w:rsidRPr="00FA06D8" w:rsidRDefault="001F5CB0" w:rsidP="00F10605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</w:p>
          <w:p w:rsidR="001F5CB0" w:rsidRPr="00FA06D8" w:rsidRDefault="001F5CB0" w:rsidP="00F10605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Участие оформляется договором и актом оказанных услуг. Доступна возможность обмена электронными документами за услугу на сервисе </w:t>
            </w:r>
            <w:r w:rsidRPr="00DE2DF8">
              <w:rPr>
                <w:rFonts w:ascii="Arial" w:hAnsi="Arial" w:cs="Arial"/>
                <w:b/>
                <w:bCs/>
                <w:color w:val="FFFFFF"/>
                <w:lang w:eastAsia="ru-RU"/>
              </w:rPr>
              <w:t>podpis.by</w:t>
            </w: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. </w:t>
            </w:r>
          </w:p>
          <w:p w:rsidR="001F5CB0" w:rsidRPr="007E5A75" w:rsidRDefault="001F5CB0" w:rsidP="00F10605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1429" w:type="dxa"/>
            <w:shd w:val="clear" w:color="auto" w:fill="FFFFFF"/>
          </w:tcPr>
          <w:p w:rsidR="001F5CB0" w:rsidRPr="006C5C1E" w:rsidRDefault="001F5CB0" w:rsidP="00F10605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</w:p>
          <w:p w:rsidR="001F5CB0" w:rsidRPr="00DF5EA1" w:rsidRDefault="001F5CB0" w:rsidP="00F10605">
            <w:pPr>
              <w:pStyle w:val="a3"/>
              <w:spacing w:line="240" w:lineRule="auto"/>
              <w:ind w:left="0"/>
              <w:jc w:val="center"/>
              <w:rPr>
                <w:sz w:val="4"/>
                <w:szCs w:val="4"/>
              </w:rPr>
            </w:pPr>
          </w:p>
          <w:p w:rsidR="001F5CB0" w:rsidRPr="006C5C1E" w:rsidRDefault="001F5CB0" w:rsidP="00F10605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285750"/>
                  <wp:effectExtent l="0" t="0" r="9525" b="0"/>
                  <wp:docPr id="1" name="Рисунок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r="23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CB0" w:rsidRPr="007E5A75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:rsidR="001F5CB0" w:rsidRPr="00B94FC0" w:rsidRDefault="001F5CB0" w:rsidP="001F5CB0">
      <w:pPr>
        <w:pStyle w:val="a3"/>
        <w:spacing w:line="240" w:lineRule="auto"/>
        <w:ind w:left="0"/>
        <w:jc w:val="center"/>
        <w:rPr>
          <w:rFonts w:ascii="Arial" w:hAnsi="Arial" w:cs="Arial"/>
          <w:b/>
          <w:color w:val="0B8FA6"/>
        </w:rPr>
      </w:pPr>
      <w:r w:rsidRPr="00B94FC0">
        <w:rPr>
          <w:rFonts w:ascii="Arial" w:hAnsi="Arial" w:cs="Arial"/>
          <w:b/>
        </w:rPr>
        <w:t xml:space="preserve">Смотрите анонсы мероприятий и другую полезную информацию на страницах </w:t>
      </w:r>
      <w:hyperlink r:id="rId8" w:history="1"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ilex</w:t>
        </w:r>
        <w:r w:rsidRPr="00B94FC0">
          <w:rPr>
            <w:rStyle w:val="a4"/>
            <w:rFonts w:ascii="Arial" w:hAnsi="Arial" w:cs="Arial"/>
            <w:b/>
            <w:color w:val="0B8FA6"/>
          </w:rPr>
          <w:t>.</w:t>
        </w:r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by</w:t>
        </w:r>
      </w:hyperlink>
    </w:p>
    <w:p w:rsidR="001F5CB0" w:rsidRPr="005E41DC" w:rsidRDefault="001F5CB0" w:rsidP="001F5CB0">
      <w:pPr>
        <w:jc w:val="both"/>
        <w:rPr>
          <w:rFonts w:ascii="Arial" w:hAnsi="Arial" w:cs="Arial"/>
          <w:b/>
          <w:sz w:val="24"/>
          <w:szCs w:val="24"/>
        </w:rPr>
      </w:pPr>
      <w:r w:rsidRPr="00B94FC0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51435</wp:posOffset>
            </wp:positionV>
            <wp:extent cx="152400" cy="152400"/>
            <wp:effectExtent l="0" t="0" r="0" b="0"/>
            <wp:wrapNone/>
            <wp:docPr id="3" name="Рисунок 3" descr="инс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FC0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38100</wp:posOffset>
            </wp:positionV>
            <wp:extent cx="165735" cy="165735"/>
            <wp:effectExtent l="0" t="0" r="5715" b="5715"/>
            <wp:wrapNone/>
            <wp:docPr id="2" name="Рисунок 2" descr="фэйсбу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эйсбу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Pr="00B94FC0">
        <w:rPr>
          <w:rFonts w:ascii="Arial" w:hAnsi="Arial" w:cs="Arial"/>
          <w:b/>
        </w:rPr>
        <w:t xml:space="preserve">и в соцсетях:                </w:t>
      </w:r>
    </w:p>
    <w:p w:rsidR="006669B5" w:rsidRDefault="006669B5">
      <w:bookmarkStart w:id="0" w:name="_GoBack"/>
      <w:bookmarkEnd w:id="0"/>
    </w:p>
    <w:sectPr w:rsidR="006669B5" w:rsidSect="00F87DE9">
      <w:pgSz w:w="11906" w:h="16838"/>
      <w:pgMar w:top="284" w:right="707" w:bottom="426" w:left="624" w:header="709" w:footer="21" w:gutter="0"/>
      <w:pgBorders w:offsetFrom="page">
        <w:top w:val="single" w:sz="36" w:space="24" w:color="0B8FA6"/>
        <w:left w:val="single" w:sz="36" w:space="24" w:color="0B8FA6"/>
        <w:bottom w:val="single" w:sz="36" w:space="24" w:color="0B8FA6"/>
        <w:right w:val="single" w:sz="36" w:space="24" w:color="0B8F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B0"/>
    <w:rsid w:val="001F5CB0"/>
    <w:rsid w:val="006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3E533CB-43CB-4D8E-B636-E5B9235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B0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0"/>
    <w:pPr>
      <w:ind w:left="720"/>
      <w:contextualSpacing/>
    </w:pPr>
  </w:style>
  <w:style w:type="character" w:styleId="a4">
    <w:name w:val="Hyperlink"/>
    <w:uiPriority w:val="99"/>
    <w:unhideWhenUsed/>
    <w:rsid w:val="001F5CB0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1F5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F5CB0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x.by/news/kak-podpisat-dokumenty-za-informatsionnuyu-uslugu-auditorium-ilex-v-elektronnom-vide/" TargetMode="External"/><Relationship Id="rId11" Type="http://schemas.openxmlformats.org/officeDocument/2006/relationships/hyperlink" Target="https://www.facebook.com/ilexby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instagram.com/ilexby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2021-09-03T11:22:00Z</dcterms:created>
  <dcterms:modified xsi:type="dcterms:W3CDTF">2021-09-03T11:22:00Z</dcterms:modified>
</cp:coreProperties>
</file>