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C4" w:rsidRDefault="008861C4" w:rsidP="008861C4">
      <w:pPr>
        <w:spacing w:line="240" w:lineRule="auto"/>
        <w:rPr>
          <w:rFonts w:ascii="Arial" w:hAnsi="Arial" w:cs="Arial"/>
          <w:b/>
          <w:bCs/>
          <w:color w:val="4040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5466"/>
      </w:tblGrid>
      <w:tr w:rsidR="008861C4" w:rsidRPr="00105990" w:rsidTr="00451A72">
        <w:tc>
          <w:tcPr>
            <w:tcW w:w="5395" w:type="dxa"/>
            <w:shd w:val="clear" w:color="auto" w:fill="auto"/>
          </w:tcPr>
          <w:p w:rsidR="008861C4" w:rsidRDefault="008861C4" w:rsidP="00451A72">
            <w:pPr>
              <w:spacing w:line="240" w:lineRule="auto"/>
              <w:rPr>
                <w:rFonts w:ascii="Arial" w:hAnsi="Arial" w:cs="Arial"/>
                <w:b/>
                <w:bCs/>
                <w:color w:val="404040"/>
                <w:sz w:val="10"/>
                <w:szCs w:val="10"/>
              </w:rPr>
            </w:pPr>
          </w:p>
          <w:p w:rsidR="008861C4" w:rsidRPr="00105990" w:rsidRDefault="008861C4" w:rsidP="00451A72">
            <w:pPr>
              <w:spacing w:line="240" w:lineRule="auto"/>
              <w:rPr>
                <w:rFonts w:ascii="Arial" w:hAnsi="Arial" w:cs="Arial"/>
                <w:b/>
                <w:bCs/>
                <w:color w:val="404040"/>
              </w:rPr>
            </w:pPr>
            <w:r w:rsidRPr="00105990">
              <w:rPr>
                <w:rFonts w:ascii="Arial" w:hAnsi="Arial" w:cs="Arial"/>
                <w:b/>
                <w:bCs/>
                <w:color w:val="404040"/>
              </w:rPr>
              <w:t>ООО «ЮрСпектр»</w:t>
            </w:r>
          </w:p>
          <w:p w:rsidR="008861C4" w:rsidRPr="00105990" w:rsidRDefault="008861C4" w:rsidP="00451A72">
            <w:pPr>
              <w:spacing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>Почтовый адрес: 220079, г. Минск, а/я 220</w:t>
            </w:r>
          </w:p>
          <w:p w:rsidR="008861C4" w:rsidRPr="00105990" w:rsidRDefault="008861C4" w:rsidP="00451A72">
            <w:pPr>
              <w:spacing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>Тел./факс (многоканальный): 308-28-28</w:t>
            </w:r>
          </w:p>
          <w:p w:rsidR="008861C4" w:rsidRPr="00105990" w:rsidRDefault="008861C4" w:rsidP="00451A72">
            <w:pPr>
              <w:spacing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 xml:space="preserve">Р/с </w:t>
            </w:r>
            <w:r w:rsidRPr="00105990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t>BY</w:t>
            </w: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>53</w:t>
            </w:r>
            <w:r w:rsidRPr="00105990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t>POIS</w:t>
            </w: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>30120001127801933005</w:t>
            </w:r>
          </w:p>
          <w:p w:rsidR="008861C4" w:rsidRPr="00105990" w:rsidRDefault="008861C4" w:rsidP="00451A72">
            <w:pPr>
              <w:spacing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>в ЦБУ № 17 ОАО «Паритетбанк»,</w:t>
            </w:r>
          </w:p>
          <w:p w:rsidR="008861C4" w:rsidRPr="00105990" w:rsidRDefault="008861C4" w:rsidP="00451A72">
            <w:pPr>
              <w:spacing w:line="240" w:lineRule="auto"/>
              <w:rPr>
                <w:color w:val="404040"/>
              </w:rPr>
            </w:pP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 xml:space="preserve">БИК </w:t>
            </w:r>
            <w:r w:rsidRPr="00105990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t>POISBY</w:t>
            </w: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>2</w:t>
            </w:r>
            <w:r w:rsidRPr="00105990">
              <w:rPr>
                <w:rFonts w:ascii="Arial" w:hAnsi="Arial" w:cs="Arial"/>
                <w:color w:val="404040"/>
                <w:sz w:val="20"/>
                <w:szCs w:val="20"/>
                <w:lang w:val="en-US"/>
              </w:rPr>
              <w:t>X</w:t>
            </w:r>
            <w:r w:rsidRPr="00105990">
              <w:rPr>
                <w:rFonts w:ascii="Arial" w:hAnsi="Arial" w:cs="Arial"/>
                <w:color w:val="404040"/>
                <w:sz w:val="20"/>
                <w:szCs w:val="20"/>
              </w:rPr>
              <w:t>, УНН 101528828, ОКПО 37521934</w:t>
            </w:r>
          </w:p>
        </w:tc>
        <w:tc>
          <w:tcPr>
            <w:tcW w:w="5396" w:type="dxa"/>
            <w:shd w:val="clear" w:color="auto" w:fill="auto"/>
          </w:tcPr>
          <w:p w:rsidR="008861C4" w:rsidRPr="00105990" w:rsidRDefault="008861C4" w:rsidP="00451A7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404040"/>
              </w:rPr>
            </w:pPr>
            <w:r w:rsidRPr="00105990">
              <w:rPr>
                <w:rFonts w:ascii="Arial" w:hAnsi="Arial" w:cs="Arial"/>
                <w:b/>
                <w:bCs/>
                <w:noProof/>
                <w:color w:val="404040"/>
                <w:lang w:eastAsia="ru-RU"/>
              </w:rPr>
              <w:drawing>
                <wp:inline distT="0" distB="0" distL="0" distR="0">
                  <wp:extent cx="3329940" cy="701040"/>
                  <wp:effectExtent l="0" t="0" r="3810" b="3810"/>
                  <wp:docPr id="4" name="Рисунок 4" descr="Аудиториум_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удиториум_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1C4" w:rsidRPr="003B4B5E" w:rsidRDefault="008861C4" w:rsidP="008861C4">
      <w:pPr>
        <w:tabs>
          <w:tab w:val="center" w:pos="5812"/>
          <w:tab w:val="right" w:pos="11624"/>
        </w:tabs>
        <w:spacing w:line="240" w:lineRule="auto"/>
        <w:jc w:val="center"/>
        <w:rPr>
          <w:rFonts w:ascii="Arial" w:hAnsi="Arial" w:cs="Arial"/>
          <w:color w:val="404040"/>
          <w:sz w:val="10"/>
          <w:szCs w:val="10"/>
        </w:rPr>
      </w:pPr>
    </w:p>
    <w:tbl>
      <w:tblPr>
        <w:tblW w:w="11482" w:type="dxa"/>
        <w:tblInd w:w="-601" w:type="dxa"/>
        <w:tblLook w:val="04A0" w:firstRow="1" w:lastRow="0" w:firstColumn="1" w:lastColumn="0" w:noHBand="0" w:noVBand="1"/>
      </w:tblPr>
      <w:tblGrid>
        <w:gridCol w:w="1418"/>
        <w:gridCol w:w="10064"/>
      </w:tblGrid>
      <w:tr w:rsidR="008861C4" w:rsidRPr="007D36C7" w:rsidTr="00451A72">
        <w:tc>
          <w:tcPr>
            <w:tcW w:w="1418" w:type="dxa"/>
          </w:tcPr>
          <w:p w:rsidR="008861C4" w:rsidRPr="007D36C7" w:rsidRDefault="008861C4" w:rsidP="00451A72">
            <w:pPr>
              <w:tabs>
                <w:tab w:val="center" w:pos="5812"/>
                <w:tab w:val="right" w:pos="11624"/>
              </w:tabs>
              <w:spacing w:line="240" w:lineRule="auto"/>
              <w:jc w:val="right"/>
              <w:rPr>
                <w:rFonts w:ascii="Arial" w:hAnsi="Arial" w:cs="Arial"/>
                <w:color w:val="40404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76200</wp:posOffset>
                  </wp:positionV>
                  <wp:extent cx="358775" cy="283845"/>
                  <wp:effectExtent l="0" t="0" r="3175" b="190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4" w:type="dxa"/>
          </w:tcPr>
          <w:p w:rsidR="008861C4" w:rsidRPr="00052ACF" w:rsidRDefault="008861C4" w:rsidP="00451A7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2ACF">
              <w:rPr>
                <w:rFonts w:ascii="Arial" w:hAnsi="Arial" w:cs="Arial"/>
                <w:b/>
                <w:sz w:val="24"/>
                <w:szCs w:val="24"/>
              </w:rPr>
              <w:t xml:space="preserve">Целевая аудитория: </w:t>
            </w:r>
          </w:p>
          <w:p w:rsidR="008861C4" w:rsidRPr="00052ACF" w:rsidRDefault="008861C4" w:rsidP="00451A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6B11">
              <w:rPr>
                <w:rFonts w:ascii="Arial" w:hAnsi="Arial" w:cs="Arial"/>
                <w:b/>
              </w:rPr>
              <w:t>главные бухгалтеры, бухгалтеры организаций, осуществляющих эмиссию (выдачу) или приобретение акций, облигаций, векселей (кроме банков и небанковских кредитно-финансовых организаций).</w:t>
            </w:r>
          </w:p>
        </w:tc>
      </w:tr>
    </w:tbl>
    <w:p w:rsidR="008861C4" w:rsidRPr="003B4B5E" w:rsidRDefault="008861C4" w:rsidP="008861C4">
      <w:pPr>
        <w:spacing w:line="240" w:lineRule="auto"/>
        <w:rPr>
          <w:rFonts w:ascii="Times New Roman" w:hAnsi="Times New Roman"/>
          <w:b/>
          <w:color w:val="404040"/>
          <w:sz w:val="10"/>
          <w:szCs w:val="10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6206"/>
        <w:gridCol w:w="4709"/>
      </w:tblGrid>
      <w:tr w:rsidR="008861C4" w:rsidRPr="00A70C10" w:rsidTr="00451A72">
        <w:trPr>
          <w:trHeight w:val="827"/>
        </w:trPr>
        <w:tc>
          <w:tcPr>
            <w:tcW w:w="6206" w:type="dxa"/>
            <w:shd w:val="clear" w:color="auto" w:fill="0B8FA6"/>
            <w:vAlign w:val="center"/>
          </w:tcPr>
          <w:p w:rsidR="008861C4" w:rsidRDefault="008861C4" w:rsidP="00451A72">
            <w:pPr>
              <w:pStyle w:val="a5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27 сентября 2021 года</w:t>
            </w:r>
          </w:p>
          <w:p w:rsidR="008861C4" w:rsidRPr="00A70C10" w:rsidRDefault="008861C4" w:rsidP="00451A72">
            <w:pPr>
              <w:pStyle w:val="a5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9.30 – 13.30</w:t>
            </w:r>
          </w:p>
        </w:tc>
        <w:tc>
          <w:tcPr>
            <w:tcW w:w="4709" w:type="dxa"/>
            <w:shd w:val="clear" w:color="auto" w:fill="0B8FA6"/>
            <w:vAlign w:val="center"/>
          </w:tcPr>
          <w:p w:rsidR="008861C4" w:rsidRPr="00301C3E" w:rsidRDefault="008861C4" w:rsidP="00451A72">
            <w:pPr>
              <w:pStyle w:val="a5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7034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Аудиториум </w:t>
            </w:r>
            <w:r w:rsidRPr="00570340">
              <w:rPr>
                <w:rFonts w:ascii="Arial" w:hAnsi="Arial" w:cs="Arial"/>
                <w:b/>
                <w:color w:val="FFFFFF"/>
                <w:sz w:val="32"/>
                <w:szCs w:val="32"/>
                <w:lang w:val="en-US"/>
              </w:rPr>
              <w:t>ilex</w:t>
            </w:r>
          </w:p>
        </w:tc>
      </w:tr>
    </w:tbl>
    <w:p w:rsidR="008861C4" w:rsidRPr="003B4B5E" w:rsidRDefault="008861C4" w:rsidP="008861C4">
      <w:pPr>
        <w:spacing w:line="240" w:lineRule="auto"/>
        <w:jc w:val="center"/>
        <w:rPr>
          <w:rFonts w:ascii="Arial" w:hAnsi="Arial" w:cs="Arial"/>
          <w:b/>
          <w:color w:val="0B8FA6"/>
          <w:sz w:val="10"/>
          <w:szCs w:val="10"/>
        </w:rPr>
      </w:pPr>
    </w:p>
    <w:p w:rsidR="008861C4" w:rsidRPr="00CD5FDA" w:rsidRDefault="008861C4" w:rsidP="008861C4">
      <w:pPr>
        <w:tabs>
          <w:tab w:val="center" w:pos="5812"/>
          <w:tab w:val="right" w:pos="11624"/>
        </w:tabs>
        <w:spacing w:line="240" w:lineRule="auto"/>
        <w:jc w:val="center"/>
        <w:rPr>
          <w:rFonts w:ascii="Arial" w:eastAsia="SimSun" w:hAnsi="Arial" w:cs="Arial"/>
          <w:b/>
          <w:color w:val="0B8FA6"/>
          <w:sz w:val="28"/>
          <w:szCs w:val="28"/>
          <w:lang w:eastAsia="ru-RU"/>
        </w:rPr>
      </w:pPr>
      <w:r w:rsidRPr="00406B11">
        <w:rPr>
          <w:rFonts w:ascii="Arial" w:hAnsi="Arial" w:cs="Arial"/>
          <w:b/>
          <w:color w:val="0B8FA6"/>
          <w:sz w:val="28"/>
          <w:szCs w:val="28"/>
        </w:rPr>
        <w:t>Актуальные вопросы учета ценных бумаг</w:t>
      </w:r>
    </w:p>
    <w:p w:rsidR="008861C4" w:rsidRPr="007A1AF9" w:rsidRDefault="008861C4" w:rsidP="008861C4">
      <w:pPr>
        <w:tabs>
          <w:tab w:val="left" w:pos="10440"/>
        </w:tabs>
        <w:jc w:val="both"/>
        <w:outlineLvl w:val="0"/>
        <w:rPr>
          <w:rFonts w:ascii="Arial" w:hAnsi="Arial" w:cs="Arial"/>
          <w:b/>
          <w:color w:val="00B0F0"/>
          <w:sz w:val="12"/>
          <w:szCs w:val="12"/>
        </w:rPr>
      </w:pPr>
    </w:p>
    <w:p w:rsidR="008861C4" w:rsidRPr="00825FFD" w:rsidRDefault="008861C4" w:rsidP="008861C4">
      <w:pPr>
        <w:autoSpaceDE w:val="0"/>
        <w:autoSpaceDN w:val="0"/>
        <w:adjustRightInd w:val="0"/>
        <w:spacing w:line="240" w:lineRule="auto"/>
        <w:ind w:left="113" w:right="113" w:firstLine="709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825FFD">
        <w:rPr>
          <w:rFonts w:ascii="Arial" w:hAnsi="Arial" w:cs="Arial"/>
          <w:b/>
          <w:bCs/>
          <w:sz w:val="24"/>
          <w:szCs w:val="24"/>
        </w:rPr>
        <w:t xml:space="preserve">1. Особенности учета операций с облигациями у эмитента в соответствии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825FFD">
        <w:rPr>
          <w:rFonts w:ascii="Arial" w:hAnsi="Arial" w:cs="Arial"/>
          <w:b/>
          <w:bCs/>
          <w:sz w:val="24"/>
          <w:szCs w:val="24"/>
        </w:rPr>
        <w:t>с НСБУ № 74.</w:t>
      </w:r>
    </w:p>
    <w:p w:rsidR="008861C4" w:rsidRPr="00825FFD" w:rsidRDefault="008861C4" w:rsidP="008861C4">
      <w:pPr>
        <w:autoSpaceDE w:val="0"/>
        <w:autoSpaceDN w:val="0"/>
        <w:adjustRightInd w:val="0"/>
        <w:spacing w:line="240" w:lineRule="auto"/>
        <w:ind w:left="113" w:right="113" w:firstLine="709"/>
        <w:jc w:val="both"/>
        <w:rPr>
          <w:rFonts w:ascii="Arial" w:hAnsi="Arial" w:cs="Arial"/>
          <w:sz w:val="24"/>
          <w:szCs w:val="24"/>
        </w:rPr>
      </w:pPr>
      <w:r w:rsidRPr="00825FFD">
        <w:rPr>
          <w:rFonts w:ascii="Arial" w:hAnsi="Arial" w:cs="Arial"/>
          <w:sz w:val="24"/>
          <w:szCs w:val="24"/>
        </w:rPr>
        <w:t>1.1. Бухгалтерский учет и налогообложение у эмитента при первичном размещении, выкупе, повторной продаже облигаций собственного выпуска и их погашении. Выплата эмитентом дохода по облигациям их владельцам.</w:t>
      </w:r>
    </w:p>
    <w:p w:rsidR="008861C4" w:rsidRPr="00825FFD" w:rsidRDefault="008861C4" w:rsidP="008861C4">
      <w:pPr>
        <w:autoSpaceDE w:val="0"/>
        <w:autoSpaceDN w:val="0"/>
        <w:adjustRightInd w:val="0"/>
        <w:spacing w:line="240" w:lineRule="auto"/>
        <w:ind w:left="113" w:right="113" w:firstLine="709"/>
        <w:jc w:val="both"/>
        <w:rPr>
          <w:rFonts w:ascii="Arial" w:hAnsi="Arial" w:cs="Arial"/>
          <w:sz w:val="24"/>
          <w:szCs w:val="24"/>
        </w:rPr>
      </w:pPr>
      <w:r w:rsidRPr="00825FFD">
        <w:rPr>
          <w:rFonts w:ascii="Arial" w:hAnsi="Arial" w:cs="Arial"/>
          <w:sz w:val="24"/>
          <w:szCs w:val="24"/>
        </w:rPr>
        <w:t>1.2. Отражение расходов, связанных с эмиссией облигаций, на счетах учета и при налогообложении.</w:t>
      </w:r>
    </w:p>
    <w:p w:rsidR="008861C4" w:rsidRPr="00825FFD" w:rsidRDefault="008861C4" w:rsidP="008861C4">
      <w:pPr>
        <w:autoSpaceDE w:val="0"/>
        <w:autoSpaceDN w:val="0"/>
        <w:adjustRightInd w:val="0"/>
        <w:spacing w:line="240" w:lineRule="auto"/>
        <w:ind w:left="113" w:right="113" w:firstLine="709"/>
        <w:jc w:val="both"/>
        <w:rPr>
          <w:rFonts w:ascii="Arial" w:hAnsi="Arial" w:cs="Arial"/>
          <w:sz w:val="24"/>
          <w:szCs w:val="24"/>
        </w:rPr>
      </w:pPr>
      <w:r w:rsidRPr="00825FFD">
        <w:rPr>
          <w:rFonts w:ascii="Arial" w:hAnsi="Arial" w:cs="Arial"/>
          <w:sz w:val="24"/>
          <w:szCs w:val="24"/>
        </w:rPr>
        <w:t>1.3. Особенности отражения в бухгалтерском и налоговом учете выпуска и погашения жилищных облигаций.</w:t>
      </w:r>
    </w:p>
    <w:p w:rsidR="008861C4" w:rsidRPr="00825FFD" w:rsidRDefault="008861C4" w:rsidP="008861C4">
      <w:pPr>
        <w:autoSpaceDE w:val="0"/>
        <w:autoSpaceDN w:val="0"/>
        <w:adjustRightInd w:val="0"/>
        <w:spacing w:line="240" w:lineRule="auto"/>
        <w:ind w:left="113" w:right="113" w:firstLine="709"/>
        <w:jc w:val="both"/>
        <w:rPr>
          <w:rFonts w:ascii="Arial" w:hAnsi="Arial" w:cs="Arial"/>
          <w:sz w:val="24"/>
          <w:szCs w:val="24"/>
        </w:rPr>
      </w:pPr>
      <w:r w:rsidRPr="00825FFD">
        <w:rPr>
          <w:rFonts w:ascii="Arial" w:hAnsi="Arial" w:cs="Arial"/>
          <w:sz w:val="24"/>
          <w:szCs w:val="24"/>
        </w:rPr>
        <w:t>1.4. Выбор валюты расчетов при размещении и погашении облигаций, выплате дохода по облигациям при взаимоотношениях с резидентами и нерезидентами Республики Беларусь.</w:t>
      </w:r>
    </w:p>
    <w:p w:rsidR="008861C4" w:rsidRPr="00825FFD" w:rsidRDefault="008861C4" w:rsidP="008861C4">
      <w:pPr>
        <w:autoSpaceDE w:val="0"/>
        <w:autoSpaceDN w:val="0"/>
        <w:adjustRightInd w:val="0"/>
        <w:spacing w:line="240" w:lineRule="auto"/>
        <w:ind w:left="113" w:right="113" w:firstLine="709"/>
        <w:jc w:val="both"/>
        <w:rPr>
          <w:rFonts w:ascii="Arial" w:hAnsi="Arial" w:cs="Arial"/>
          <w:sz w:val="16"/>
          <w:szCs w:val="16"/>
        </w:rPr>
      </w:pPr>
    </w:p>
    <w:p w:rsidR="008861C4" w:rsidRPr="00825FFD" w:rsidRDefault="008861C4" w:rsidP="008861C4">
      <w:pPr>
        <w:autoSpaceDE w:val="0"/>
        <w:autoSpaceDN w:val="0"/>
        <w:adjustRightInd w:val="0"/>
        <w:spacing w:line="240" w:lineRule="auto"/>
        <w:ind w:left="113" w:right="113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25FFD">
        <w:rPr>
          <w:rFonts w:ascii="Arial" w:hAnsi="Arial" w:cs="Arial"/>
          <w:b/>
          <w:bCs/>
          <w:sz w:val="24"/>
          <w:szCs w:val="24"/>
        </w:rPr>
        <w:t>2. Актуальные вопросы учета эмиссионных ценных бумаг у владельцев.</w:t>
      </w:r>
    </w:p>
    <w:p w:rsidR="008861C4" w:rsidRPr="00825FFD" w:rsidRDefault="008861C4" w:rsidP="008861C4">
      <w:pPr>
        <w:autoSpaceDE w:val="0"/>
        <w:autoSpaceDN w:val="0"/>
        <w:adjustRightInd w:val="0"/>
        <w:spacing w:line="240" w:lineRule="auto"/>
        <w:ind w:left="113" w:right="113" w:firstLine="709"/>
        <w:jc w:val="both"/>
        <w:rPr>
          <w:rFonts w:ascii="Arial" w:hAnsi="Arial" w:cs="Arial"/>
          <w:sz w:val="24"/>
          <w:szCs w:val="24"/>
        </w:rPr>
      </w:pPr>
      <w:r w:rsidRPr="00825FFD">
        <w:rPr>
          <w:rFonts w:ascii="Arial" w:hAnsi="Arial" w:cs="Arial"/>
          <w:sz w:val="24"/>
          <w:szCs w:val="24"/>
        </w:rPr>
        <w:t xml:space="preserve">2.1. Классификация ценных бумаг как финансовых инструментов в качестве учитываемых по амортизированной и по справедливой стоимости, порядок документального оформления принятого решения по классификации. </w:t>
      </w:r>
    </w:p>
    <w:p w:rsidR="008861C4" w:rsidRPr="00825FFD" w:rsidRDefault="008861C4" w:rsidP="008861C4">
      <w:pPr>
        <w:autoSpaceDE w:val="0"/>
        <w:autoSpaceDN w:val="0"/>
        <w:adjustRightInd w:val="0"/>
        <w:spacing w:line="240" w:lineRule="auto"/>
        <w:ind w:left="113" w:right="113" w:firstLine="709"/>
        <w:jc w:val="both"/>
        <w:rPr>
          <w:rFonts w:ascii="Arial" w:hAnsi="Arial" w:cs="Arial"/>
          <w:sz w:val="24"/>
          <w:szCs w:val="24"/>
        </w:rPr>
      </w:pPr>
      <w:r w:rsidRPr="00825FFD">
        <w:rPr>
          <w:rFonts w:ascii="Arial" w:hAnsi="Arial" w:cs="Arial"/>
          <w:sz w:val="24"/>
          <w:szCs w:val="24"/>
        </w:rPr>
        <w:t>2.2. Учет приобретения, изменения стоимости в период нахождения на балансе и реализации (погашения) ценных бумаг, учитываемых по амортизированной стоимости.</w:t>
      </w:r>
    </w:p>
    <w:p w:rsidR="008861C4" w:rsidRPr="00825FFD" w:rsidRDefault="008861C4" w:rsidP="008861C4">
      <w:pPr>
        <w:autoSpaceDE w:val="0"/>
        <w:autoSpaceDN w:val="0"/>
        <w:adjustRightInd w:val="0"/>
        <w:spacing w:line="240" w:lineRule="auto"/>
        <w:ind w:left="113" w:right="113" w:firstLine="709"/>
        <w:jc w:val="both"/>
        <w:rPr>
          <w:rFonts w:ascii="Arial" w:hAnsi="Arial" w:cs="Arial"/>
          <w:sz w:val="24"/>
          <w:szCs w:val="24"/>
        </w:rPr>
      </w:pPr>
      <w:r w:rsidRPr="00825FFD">
        <w:rPr>
          <w:rFonts w:ascii="Arial" w:hAnsi="Arial" w:cs="Arial"/>
          <w:sz w:val="24"/>
          <w:szCs w:val="24"/>
        </w:rPr>
        <w:t>2.3. Учет приобретения, изменения стоимости в период нахождения на балансе и реализации (погашения) ценных бумаг, учитываемых по справедливой стоимости.</w:t>
      </w:r>
    </w:p>
    <w:p w:rsidR="008861C4" w:rsidRPr="00825FFD" w:rsidRDefault="008861C4" w:rsidP="008861C4">
      <w:pPr>
        <w:autoSpaceDE w:val="0"/>
        <w:autoSpaceDN w:val="0"/>
        <w:adjustRightInd w:val="0"/>
        <w:spacing w:line="240" w:lineRule="auto"/>
        <w:ind w:left="113" w:right="113" w:firstLine="709"/>
        <w:jc w:val="both"/>
        <w:rPr>
          <w:rFonts w:ascii="Arial" w:hAnsi="Arial" w:cs="Arial"/>
          <w:sz w:val="24"/>
          <w:szCs w:val="24"/>
        </w:rPr>
      </w:pPr>
      <w:r w:rsidRPr="00825FFD">
        <w:rPr>
          <w:rFonts w:ascii="Arial" w:hAnsi="Arial" w:cs="Arial"/>
          <w:sz w:val="24"/>
          <w:szCs w:val="24"/>
        </w:rPr>
        <w:t>2.4. Вопросы переоценки ценных бумаг в связи с изменением их рыночной цены и изменением курса иностранных валют по ценным бумагам. Номинированным в иностранной валюте. Создание и использование резервов на покрытие возможных убытков по ценным бумагам, под обесценение финансовых вложений в ценные бумаги.</w:t>
      </w:r>
    </w:p>
    <w:p w:rsidR="008861C4" w:rsidRPr="00825FFD" w:rsidRDefault="008861C4" w:rsidP="008861C4">
      <w:pPr>
        <w:autoSpaceDE w:val="0"/>
        <w:autoSpaceDN w:val="0"/>
        <w:adjustRightInd w:val="0"/>
        <w:spacing w:line="240" w:lineRule="auto"/>
        <w:ind w:left="113" w:right="113" w:firstLine="709"/>
        <w:jc w:val="both"/>
        <w:rPr>
          <w:rFonts w:ascii="Arial" w:hAnsi="Arial" w:cs="Arial"/>
          <w:sz w:val="24"/>
          <w:szCs w:val="24"/>
        </w:rPr>
      </w:pPr>
      <w:r w:rsidRPr="00825FFD">
        <w:rPr>
          <w:rFonts w:ascii="Arial" w:hAnsi="Arial" w:cs="Arial"/>
          <w:sz w:val="24"/>
          <w:szCs w:val="24"/>
        </w:rPr>
        <w:t>2.5. Налоговый учет приобретения и реализации (погашения) ценных бумаг. Порядок применения освобождения по налогу на прибыль по операциям с ценными бумагами.</w:t>
      </w:r>
    </w:p>
    <w:p w:rsidR="008861C4" w:rsidRPr="00825FFD" w:rsidRDefault="008861C4" w:rsidP="008861C4">
      <w:pPr>
        <w:spacing w:line="240" w:lineRule="auto"/>
        <w:ind w:left="113" w:right="113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8861C4" w:rsidRPr="00825FFD" w:rsidRDefault="008861C4" w:rsidP="008861C4">
      <w:pPr>
        <w:spacing w:line="240" w:lineRule="auto"/>
        <w:ind w:left="113" w:right="11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25FFD">
        <w:rPr>
          <w:rFonts w:ascii="Arial" w:hAnsi="Arial" w:cs="Arial"/>
          <w:b/>
          <w:sz w:val="24"/>
          <w:szCs w:val="24"/>
        </w:rPr>
        <w:t>Лектор:</w:t>
      </w:r>
    </w:p>
    <w:p w:rsidR="008861C4" w:rsidRPr="00825FFD" w:rsidRDefault="008861C4" w:rsidP="008861C4">
      <w:pPr>
        <w:pStyle w:val="a3"/>
        <w:spacing w:line="24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 w:rsidRPr="00825FFD">
        <w:rPr>
          <w:rFonts w:ascii="Arial" w:hAnsi="Arial" w:cs="Arial"/>
          <w:b/>
          <w:sz w:val="24"/>
          <w:szCs w:val="24"/>
          <w:lang w:eastAsia="ru-RU"/>
        </w:rPr>
        <w:t>Статкевич Виктор Геннадьевич,</w:t>
      </w:r>
      <w:r w:rsidRPr="00825FFD">
        <w:rPr>
          <w:rFonts w:ascii="Arial" w:hAnsi="Arial" w:cs="Arial"/>
          <w:b/>
          <w:sz w:val="24"/>
          <w:szCs w:val="24"/>
        </w:rPr>
        <w:t xml:space="preserve"> </w:t>
      </w:r>
      <w:r w:rsidRPr="00825FFD">
        <w:rPr>
          <w:rFonts w:ascii="Arial" w:hAnsi="Arial" w:cs="Arial"/>
          <w:sz w:val="24"/>
          <w:szCs w:val="24"/>
          <w:lang w:eastAsia="ru-RU"/>
        </w:rPr>
        <w:t xml:space="preserve">аудитор, советник по налоговым и финансовым вопросам юридической компании REVERA, член экспертного совета Ассоциации налогоплательщиков. </w:t>
      </w:r>
    </w:p>
    <w:p w:rsidR="008861C4" w:rsidRDefault="008861C4" w:rsidP="008861C4">
      <w:pPr>
        <w:jc w:val="both"/>
        <w:rPr>
          <w:rFonts w:ascii="Arial" w:hAnsi="Arial" w:cs="Arial"/>
          <w:sz w:val="10"/>
          <w:szCs w:val="10"/>
        </w:rPr>
      </w:pPr>
    </w:p>
    <w:p w:rsidR="008861C4" w:rsidRDefault="008861C4" w:rsidP="008861C4">
      <w:pPr>
        <w:jc w:val="both"/>
        <w:rPr>
          <w:rFonts w:ascii="Arial" w:hAnsi="Arial" w:cs="Arial"/>
          <w:sz w:val="10"/>
          <w:szCs w:val="10"/>
        </w:rPr>
      </w:pPr>
    </w:p>
    <w:p w:rsidR="008861C4" w:rsidRDefault="008861C4" w:rsidP="008861C4">
      <w:pPr>
        <w:jc w:val="both"/>
        <w:rPr>
          <w:rFonts w:ascii="Arial" w:hAnsi="Arial" w:cs="Arial"/>
          <w:sz w:val="10"/>
          <w:szCs w:val="10"/>
        </w:rPr>
      </w:pPr>
    </w:p>
    <w:p w:rsidR="008861C4" w:rsidRDefault="008861C4" w:rsidP="008861C4">
      <w:pPr>
        <w:jc w:val="both"/>
        <w:rPr>
          <w:rFonts w:ascii="Arial" w:hAnsi="Arial" w:cs="Arial"/>
          <w:sz w:val="10"/>
          <w:szCs w:val="10"/>
        </w:rPr>
      </w:pPr>
    </w:p>
    <w:p w:rsidR="008861C4" w:rsidRDefault="008861C4" w:rsidP="008861C4">
      <w:pPr>
        <w:jc w:val="both"/>
        <w:rPr>
          <w:rFonts w:ascii="Arial" w:hAnsi="Arial" w:cs="Arial"/>
          <w:sz w:val="10"/>
          <w:szCs w:val="10"/>
        </w:rPr>
      </w:pPr>
    </w:p>
    <w:p w:rsidR="008861C4" w:rsidRDefault="008861C4" w:rsidP="008861C4">
      <w:pPr>
        <w:jc w:val="both"/>
        <w:rPr>
          <w:rFonts w:ascii="Arial" w:hAnsi="Arial" w:cs="Arial"/>
          <w:sz w:val="10"/>
          <w:szCs w:val="10"/>
        </w:rPr>
      </w:pPr>
    </w:p>
    <w:p w:rsidR="008861C4" w:rsidRDefault="008861C4" w:rsidP="008861C4">
      <w:pPr>
        <w:pStyle w:val="a3"/>
        <w:spacing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Будем рады видеть Вас на нашем мероприятии</w:t>
      </w:r>
      <w:r w:rsidRPr="005D000A">
        <w:rPr>
          <w:rFonts w:ascii="Arial" w:hAnsi="Arial" w:cs="Arial"/>
          <w:b/>
          <w:bCs/>
          <w:sz w:val="24"/>
          <w:szCs w:val="24"/>
        </w:rPr>
        <w:t>!</w:t>
      </w:r>
    </w:p>
    <w:p w:rsidR="008861C4" w:rsidRDefault="008861C4" w:rsidP="008861C4">
      <w:pPr>
        <w:pStyle w:val="a3"/>
        <w:spacing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8861C4" w:rsidRPr="005E41DC" w:rsidRDefault="008861C4" w:rsidP="008861C4">
      <w:pPr>
        <w:pStyle w:val="a3"/>
        <w:spacing w:line="240" w:lineRule="auto"/>
        <w:ind w:left="0"/>
        <w:jc w:val="center"/>
        <w:rPr>
          <w:rFonts w:ascii="Arial" w:hAnsi="Arial" w:cs="Arial"/>
          <w:sz w:val="10"/>
          <w:szCs w:val="10"/>
        </w:rPr>
      </w:pPr>
    </w:p>
    <w:tbl>
      <w:tblPr>
        <w:tblW w:w="10893" w:type="dxa"/>
        <w:tblBorders>
          <w:top w:val="single" w:sz="12" w:space="0" w:color="0B8FA6"/>
          <w:left w:val="single" w:sz="12" w:space="0" w:color="0B8FA6"/>
          <w:bottom w:val="single" w:sz="12" w:space="0" w:color="0B8FA6"/>
          <w:right w:val="single" w:sz="12" w:space="0" w:color="0B8FA6"/>
          <w:insideH w:val="single" w:sz="12" w:space="0" w:color="0B8FA6"/>
          <w:insideV w:val="single" w:sz="12" w:space="0" w:color="0B8FA6"/>
        </w:tblBorders>
        <w:shd w:val="clear" w:color="auto" w:fill="0B8FA6"/>
        <w:tblLook w:val="04A0" w:firstRow="1" w:lastRow="0" w:firstColumn="1" w:lastColumn="0" w:noHBand="0" w:noVBand="1"/>
      </w:tblPr>
      <w:tblGrid>
        <w:gridCol w:w="9464"/>
        <w:gridCol w:w="1429"/>
      </w:tblGrid>
      <w:tr w:rsidR="008861C4" w:rsidRPr="006C5C1E" w:rsidTr="00451A72">
        <w:tc>
          <w:tcPr>
            <w:tcW w:w="9464" w:type="dxa"/>
            <w:shd w:val="clear" w:color="auto" w:fill="0B8FA6"/>
          </w:tcPr>
          <w:p w:rsidR="008861C4" w:rsidRPr="00FA06D8" w:rsidRDefault="008861C4" w:rsidP="00451A72">
            <w:pPr>
              <w:pStyle w:val="a3"/>
              <w:spacing w:line="240" w:lineRule="auto"/>
              <w:ind w:left="142"/>
              <w:jc w:val="center"/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</w:p>
          <w:p w:rsidR="008861C4" w:rsidRPr="00FA06D8" w:rsidRDefault="008861C4" w:rsidP="00451A72">
            <w:pPr>
              <w:pStyle w:val="a3"/>
              <w:spacing w:line="240" w:lineRule="auto"/>
              <w:ind w:left="142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FA06D8">
              <w:rPr>
                <w:rFonts w:ascii="Arial" w:hAnsi="Arial" w:cs="Arial"/>
                <w:b/>
                <w:bCs/>
                <w:color w:val="FFFFFF"/>
                <w:lang w:eastAsia="ru-RU"/>
              </w:rPr>
              <w:t xml:space="preserve">Участие оформляется договором и актом оказанных услуг. Доступна возможность обмена электронными документами за услугу на сервисе </w:t>
            </w:r>
            <w:r w:rsidRPr="00DE2DF8">
              <w:rPr>
                <w:rFonts w:ascii="Arial" w:hAnsi="Arial" w:cs="Arial"/>
                <w:b/>
                <w:bCs/>
                <w:color w:val="FFFFFF"/>
                <w:lang w:eastAsia="ru-RU"/>
              </w:rPr>
              <w:t>podpis.by</w:t>
            </w:r>
            <w:r w:rsidRPr="00FA06D8">
              <w:rPr>
                <w:rFonts w:ascii="Arial" w:hAnsi="Arial" w:cs="Arial"/>
                <w:b/>
                <w:bCs/>
                <w:color w:val="FFFFFF"/>
                <w:lang w:eastAsia="ru-RU"/>
              </w:rPr>
              <w:t xml:space="preserve">. </w:t>
            </w:r>
          </w:p>
          <w:p w:rsidR="008861C4" w:rsidRPr="007E5A75" w:rsidRDefault="008861C4" w:rsidP="00451A72">
            <w:pPr>
              <w:pStyle w:val="a3"/>
              <w:spacing w:line="240" w:lineRule="auto"/>
              <w:ind w:left="142"/>
              <w:jc w:val="center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  <w:tc>
          <w:tcPr>
            <w:tcW w:w="1429" w:type="dxa"/>
            <w:shd w:val="clear" w:color="auto" w:fill="FFFFFF"/>
          </w:tcPr>
          <w:p w:rsidR="008861C4" w:rsidRPr="006C5C1E" w:rsidRDefault="008861C4" w:rsidP="00451A72">
            <w:pPr>
              <w:pStyle w:val="a3"/>
              <w:spacing w:line="240" w:lineRule="auto"/>
              <w:ind w:left="0"/>
              <w:rPr>
                <w:rFonts w:ascii="Arial" w:hAnsi="Arial" w:cs="Arial"/>
                <w:b/>
                <w:color w:val="FFFFFF"/>
                <w:sz w:val="4"/>
                <w:szCs w:val="4"/>
              </w:rPr>
            </w:pPr>
          </w:p>
          <w:p w:rsidR="008861C4" w:rsidRPr="00DF5EA1" w:rsidRDefault="008861C4" w:rsidP="00451A72">
            <w:pPr>
              <w:pStyle w:val="a3"/>
              <w:spacing w:line="240" w:lineRule="auto"/>
              <w:ind w:left="0"/>
              <w:jc w:val="center"/>
              <w:rPr>
                <w:sz w:val="4"/>
                <w:szCs w:val="4"/>
              </w:rPr>
            </w:pPr>
          </w:p>
          <w:p w:rsidR="008861C4" w:rsidRPr="006C5C1E" w:rsidRDefault="008861C4" w:rsidP="00451A72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9620" cy="289560"/>
                  <wp:effectExtent l="0" t="0" r="0" b="0"/>
                  <wp:docPr id="3" name="Рисунок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5" r="23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1C4" w:rsidRPr="007E5A75" w:rsidRDefault="008861C4" w:rsidP="008861C4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8"/>
          <w:szCs w:val="8"/>
        </w:rPr>
      </w:pPr>
    </w:p>
    <w:p w:rsidR="008861C4" w:rsidRPr="00B94FC0" w:rsidRDefault="008861C4" w:rsidP="008861C4">
      <w:pPr>
        <w:pStyle w:val="a3"/>
        <w:spacing w:line="240" w:lineRule="auto"/>
        <w:ind w:left="0"/>
        <w:jc w:val="center"/>
        <w:rPr>
          <w:rFonts w:ascii="Arial" w:hAnsi="Arial" w:cs="Arial"/>
          <w:b/>
          <w:color w:val="0B8FA6"/>
        </w:rPr>
      </w:pPr>
      <w:r w:rsidRPr="00B94FC0">
        <w:rPr>
          <w:rFonts w:ascii="Arial" w:hAnsi="Arial" w:cs="Arial"/>
          <w:b/>
        </w:rPr>
        <w:t xml:space="preserve">Смотрите анонсы мероприятий и другую полезную информацию на страницах </w:t>
      </w:r>
      <w:hyperlink r:id="rId8" w:history="1">
        <w:r w:rsidRPr="00B94FC0">
          <w:rPr>
            <w:rStyle w:val="a4"/>
            <w:rFonts w:ascii="Arial" w:hAnsi="Arial" w:cs="Arial"/>
            <w:b/>
            <w:color w:val="0B8FA6"/>
            <w:lang w:val="en-US"/>
          </w:rPr>
          <w:t>ilex</w:t>
        </w:r>
        <w:r w:rsidRPr="00B94FC0">
          <w:rPr>
            <w:rStyle w:val="a4"/>
            <w:rFonts w:ascii="Arial" w:hAnsi="Arial" w:cs="Arial"/>
            <w:b/>
            <w:color w:val="0B8FA6"/>
          </w:rPr>
          <w:t>.</w:t>
        </w:r>
        <w:r w:rsidRPr="00B94FC0">
          <w:rPr>
            <w:rStyle w:val="a4"/>
            <w:rFonts w:ascii="Arial" w:hAnsi="Arial" w:cs="Arial"/>
            <w:b/>
            <w:color w:val="0B8FA6"/>
            <w:lang w:val="en-US"/>
          </w:rPr>
          <w:t>by</w:t>
        </w:r>
      </w:hyperlink>
    </w:p>
    <w:p w:rsidR="006D1AD0" w:rsidRPr="008861C4" w:rsidRDefault="008861C4" w:rsidP="008861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Pr="00B94FC0">
        <w:rPr>
          <w:rFonts w:ascii="Arial" w:hAnsi="Arial" w:cs="Arial"/>
          <w:b/>
        </w:rPr>
        <w:t>и в соцсетях:</w:t>
      </w:r>
      <w:r>
        <w:rPr>
          <w:rFonts w:ascii="Arial" w:hAnsi="Arial" w:cs="Arial"/>
          <w:b/>
        </w:rPr>
        <w:t xml:space="preserve">  </w:t>
      </w:r>
      <w:r w:rsidRPr="00B94FC0">
        <w:rPr>
          <w:rFonts w:ascii="Arial" w:hAnsi="Arial" w:cs="Arial"/>
          <w:b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инс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67640" cy="167640"/>
            <wp:effectExtent l="0" t="0" r="3810" b="3810"/>
            <wp:docPr id="1" name="Рисунок 1" descr="фэйсбу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эйсбу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Pr="00B94FC0">
        <w:rPr>
          <w:rFonts w:ascii="Arial" w:hAnsi="Arial" w:cs="Arial"/>
          <w:b/>
        </w:rPr>
        <w:t xml:space="preserve">               </w:t>
      </w:r>
      <w:bookmarkStart w:id="0" w:name="_GoBack"/>
      <w:bookmarkEnd w:id="0"/>
    </w:p>
    <w:sectPr w:rsidR="006D1AD0" w:rsidRPr="008861C4" w:rsidSect="00F87DE9">
      <w:pgSz w:w="11906" w:h="16838"/>
      <w:pgMar w:top="284" w:right="707" w:bottom="426" w:left="624" w:header="709" w:footer="21" w:gutter="0"/>
      <w:pgBorders w:offsetFrom="page">
        <w:top w:val="single" w:sz="36" w:space="24" w:color="0B8FA6"/>
        <w:left w:val="single" w:sz="36" w:space="24" w:color="0B8FA6"/>
        <w:bottom w:val="single" w:sz="36" w:space="24" w:color="0B8FA6"/>
        <w:right w:val="single" w:sz="36" w:space="24" w:color="0B8F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C4"/>
    <w:rsid w:val="006D1AD0"/>
    <w:rsid w:val="008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297024"/>
  <w15:chartTrackingRefBased/>
  <w15:docId w15:val="{4E50E237-95BD-4380-AF6A-9B337C85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C4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C4"/>
    <w:pPr>
      <w:ind w:left="720"/>
      <w:contextualSpacing/>
    </w:pPr>
  </w:style>
  <w:style w:type="character" w:styleId="a4">
    <w:name w:val="Hyperlink"/>
    <w:uiPriority w:val="99"/>
    <w:unhideWhenUsed/>
    <w:rsid w:val="008861C4"/>
    <w:rPr>
      <w:rFonts w:cs="Times New Roman"/>
      <w:color w:val="0563C1"/>
      <w:u w:val="single"/>
    </w:rPr>
  </w:style>
  <w:style w:type="paragraph" w:styleId="a5">
    <w:name w:val="No Spacing"/>
    <w:uiPriority w:val="1"/>
    <w:qFormat/>
    <w:rsid w:val="008861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ex.b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ex.by/news/kak-podpisat-dokumenty-za-informatsionnuyu-uslugu-auditorium-ilex-v-elektronnom-vide/" TargetMode="External"/><Relationship Id="rId11" Type="http://schemas.openxmlformats.org/officeDocument/2006/relationships/hyperlink" Target="https://www.facebook.com/ilexby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instagram.com/ilexby/?hl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Петрашенко Мария Анатольевна</dc:creator>
  <cp:keywords/>
  <dc:description/>
  <cp:lastModifiedBy>Петрашенко Мария Анатольевна</cp:lastModifiedBy>
  <cp:revision>1</cp:revision>
  <dcterms:created xsi:type="dcterms:W3CDTF">2021-09-09T10:47:00Z</dcterms:created>
  <dcterms:modified xsi:type="dcterms:W3CDTF">2021-09-09T10:47:00Z</dcterms:modified>
</cp:coreProperties>
</file>